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Informacja</w:t>
      </w:r>
      <w:r>
        <w:rPr>
          <w:spacing w:val="-5"/>
        </w:rPr>
        <w:t> </w:t>
      </w:r>
      <w:r>
        <w:rPr>
          <w:spacing w:val="-2"/>
        </w:rPr>
        <w:t>dodatkowa</w:t>
      </w:r>
    </w:p>
    <w:p>
      <w:pPr>
        <w:spacing w:line="240" w:lineRule="auto" w:before="207" w:after="1"/>
        <w:rPr>
          <w:b/>
          <w:sz w:val="20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575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I.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Wprowadzenie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sprawozdania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finansowego,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obejmuje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szczególności:</w:t>
            </w:r>
          </w:p>
        </w:tc>
      </w:tr>
      <w:tr>
        <w:trPr>
          <w:trHeight w:val="577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1.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ind w:left="163"/>
              <w:rPr>
                <w:b/>
                <w:sz w:val="22"/>
              </w:rPr>
            </w:pPr>
            <w:r>
              <w:rPr>
                <w:b/>
                <w:sz w:val="22"/>
              </w:rPr>
              <w:t>Powiatowy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Środowiskowy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Dom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Samopomocy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Golubiu-</w:t>
            </w:r>
            <w:r>
              <w:rPr>
                <w:b/>
                <w:spacing w:val="-2"/>
                <w:sz w:val="22"/>
              </w:rPr>
              <w:t>Dobrzyniu</w:t>
            </w:r>
          </w:p>
        </w:tc>
      </w:tr>
      <w:tr>
        <w:trPr>
          <w:trHeight w:val="558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z w:val="22"/>
              </w:rPr>
              <w:t>nazwę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jednostki</w:t>
            </w:r>
          </w:p>
        </w:tc>
      </w:tr>
      <w:tr>
        <w:trPr>
          <w:trHeight w:val="741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Golub-Dobrzyń</w:t>
            </w:r>
          </w:p>
        </w:tc>
      </w:tr>
      <w:tr>
        <w:trPr>
          <w:trHeight w:val="559" w:hRule="atLeast"/>
        </w:trPr>
        <w:tc>
          <w:tcPr>
            <w:tcW w:w="953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8850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z w:val="22"/>
              </w:rPr>
              <w:t>siedzibę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jednostki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ul.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Dr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J.G.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Koppa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1A,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87-400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Golub-</w:t>
            </w:r>
            <w:r>
              <w:rPr>
                <w:b/>
                <w:spacing w:val="-2"/>
                <w:sz w:val="22"/>
              </w:rPr>
              <w:t>Dobrzyń</w:t>
            </w:r>
          </w:p>
        </w:tc>
      </w:tr>
      <w:tr>
        <w:trPr>
          <w:trHeight w:val="558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1.3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z w:val="22"/>
              </w:rPr>
              <w:t>adres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jednostki</w:t>
            </w:r>
          </w:p>
        </w:tc>
      </w:tr>
      <w:tr>
        <w:trPr>
          <w:trHeight w:val="1139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line="276" w:lineRule="auto"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PKD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8810Z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Pomoc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społeczna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bez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zakwaterowania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dla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osób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podeszłym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wieku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osób </w:t>
            </w:r>
            <w:r>
              <w:rPr>
                <w:b/>
                <w:spacing w:val="-2"/>
                <w:sz w:val="22"/>
              </w:rPr>
              <w:t>niepełnosprawnych</w:t>
            </w:r>
          </w:p>
        </w:tc>
      </w:tr>
      <w:tr>
        <w:trPr>
          <w:trHeight w:val="559" w:hRule="atLeast"/>
        </w:trPr>
        <w:tc>
          <w:tcPr>
            <w:tcW w:w="953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pacing w:val="-5"/>
                <w:sz w:val="22"/>
              </w:rPr>
              <w:t>1.4</w:t>
            </w:r>
          </w:p>
        </w:tc>
        <w:tc>
          <w:tcPr>
            <w:tcW w:w="8850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z w:val="22"/>
              </w:rPr>
              <w:t>podstawowy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przedmiot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działalności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jednostki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Przedmiotowe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sprawozdanie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finansowe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obejmuje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rok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obrotowy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od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01.01.2025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31.12.2025</w:t>
            </w:r>
          </w:p>
        </w:tc>
      </w:tr>
      <w:tr>
        <w:trPr>
          <w:trHeight w:val="558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2.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z w:val="22"/>
              </w:rPr>
              <w:t>wskazanie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okresu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objętego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sprawozdaniem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ind w:left="218"/>
              <w:rPr>
                <w:sz w:val="22"/>
              </w:rPr>
            </w:pPr>
            <w:r>
              <w:rPr>
                <w:spacing w:val="-2"/>
                <w:sz w:val="22"/>
              </w:rPr>
              <w:t>********************</w:t>
            </w:r>
          </w:p>
        </w:tc>
      </w:tr>
      <w:tr>
        <w:trPr>
          <w:trHeight w:val="1012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3.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z w:val="22"/>
              </w:rPr>
              <w:t>wskazanie,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że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sprawozdanie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finansowe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zawiera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dane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łączne</w:t>
            </w:r>
          </w:p>
        </w:tc>
      </w:tr>
      <w:tr>
        <w:trPr>
          <w:trHeight w:val="1430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8"/>
              <w:ind w:right="96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Sprawozdanie finansowe sporządzone zostało na podstawie ksiąg rachunkowych prowadzonych</w:t>
            </w:r>
            <w:r>
              <w:rPr>
                <w:b/>
                <w:spacing w:val="-11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roku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obrotowym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zgodnie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z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dokumentacją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przyjętych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zasad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rachunkowości ustaloną i wprowadzoną do stosowania na podstawie Zarządzenia Nr 33/2022 z dnia </w:t>
            </w:r>
            <w:r>
              <w:rPr>
                <w:b/>
                <w:spacing w:val="-2"/>
                <w:sz w:val="22"/>
              </w:rPr>
              <w:t>31.08.2022</w:t>
            </w:r>
          </w:p>
        </w:tc>
      </w:tr>
      <w:tr>
        <w:trPr>
          <w:trHeight w:val="849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sz w:val="22"/>
              </w:rPr>
            </w:pPr>
            <w:r>
              <w:rPr>
                <w:spacing w:val="-5"/>
                <w:sz w:val="22"/>
              </w:rPr>
              <w:t>4.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8"/>
              <w:rPr>
                <w:sz w:val="22"/>
              </w:rPr>
            </w:pPr>
            <w:r>
              <w:rPr>
                <w:sz w:val="22"/>
              </w:rPr>
              <w:t>omówienie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przyjętych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zasad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(polityki) rachunkowości,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tym metod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wyceny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aktywów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 pasywów (także amortyzacji)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59" w:hRule="atLeast"/>
        </w:trPr>
        <w:tc>
          <w:tcPr>
            <w:tcW w:w="953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pacing w:val="-5"/>
                <w:sz w:val="22"/>
              </w:rPr>
              <w:t>5.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9"/>
              <w:rPr>
                <w:sz w:val="22"/>
              </w:rPr>
            </w:pPr>
            <w:r>
              <w:rPr>
                <w:sz w:val="22"/>
              </w:rPr>
              <w:t>inne</w:t>
            </w:r>
            <w:r>
              <w:rPr>
                <w:spacing w:val="-2"/>
                <w:sz w:val="22"/>
              </w:rPr>
              <w:t> informacje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type w:val="continuous"/>
          <w:pgSz w:w="11910" w:h="16840"/>
          <w:pgMar w:top="1360" w:bottom="280" w:left="992" w:right="992"/>
        </w:sectPr>
      </w:pPr>
    </w:p>
    <w:p>
      <w:pPr>
        <w:spacing w:line="240" w:lineRule="auto" w:before="3"/>
        <w:rPr>
          <w:b/>
          <w:sz w:val="2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72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9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77" w:hRule="atLeast"/>
        </w:trPr>
        <w:tc>
          <w:tcPr>
            <w:tcW w:w="953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II.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8"/>
              <w:rPr>
                <w:b/>
                <w:sz w:val="22"/>
              </w:rPr>
            </w:pPr>
            <w:r>
              <w:rPr>
                <w:b/>
                <w:sz w:val="22"/>
              </w:rPr>
              <w:t>Dodatkowe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informacje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i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objaśnienia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obejmują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w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szczególności:</w:t>
            </w:r>
          </w:p>
        </w:tc>
      </w:tr>
    </w:tbl>
    <w:p>
      <w:pPr>
        <w:spacing w:line="240" w:lineRule="auto" w:before="68" w:after="1"/>
        <w:rPr>
          <w:b/>
          <w:sz w:val="20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606" w:hRule="atLeast"/>
        </w:trPr>
        <w:tc>
          <w:tcPr>
            <w:tcW w:w="953" w:type="dxa"/>
          </w:tcPr>
          <w:p>
            <w:pPr>
              <w:pStyle w:val="TableParagraph"/>
              <w:spacing w:before="51"/>
              <w:rPr>
                <w:sz w:val="22"/>
              </w:rPr>
            </w:pPr>
            <w:r>
              <w:rPr>
                <w:spacing w:val="-5"/>
                <w:sz w:val="22"/>
              </w:rPr>
              <w:t>1.</w:t>
            </w:r>
          </w:p>
        </w:tc>
        <w:tc>
          <w:tcPr>
            <w:tcW w:w="885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1716" w:hRule="atLeast"/>
        </w:trPr>
        <w:tc>
          <w:tcPr>
            <w:tcW w:w="953" w:type="dxa"/>
          </w:tcPr>
          <w:p>
            <w:pPr>
              <w:pStyle w:val="TableParagraph"/>
              <w:spacing w:before="51"/>
              <w:rPr>
                <w:sz w:val="22"/>
              </w:rPr>
            </w:pPr>
            <w:r>
              <w:rPr>
                <w:spacing w:val="-4"/>
                <w:sz w:val="22"/>
              </w:rPr>
              <w:t>1.1.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1"/>
              <w:ind w:right="91"/>
              <w:jc w:val="both"/>
              <w:rPr>
                <w:sz w:val="22"/>
              </w:rPr>
            </w:pPr>
            <w:r>
              <w:rPr>
                <w:sz w:val="22"/>
              </w:rPr>
              <w:t>szczegółowy zakres zmian wartości grup rodzajowych środków trwałych, wartości niematerialnych i prawnych, zawierający stan tych aktywów na początek roku obrotowego, zwiększenia i zmniejszenia z tytułu: aktualizacji wartości, nabycia, rozchodu, przemieszczenia wewnętrznego oraz stan końcowy, a dla majątku amortyzowanego - podobne przedstawienie stanów i tytułów zmian dotychczasowej amortyzacji lub umorzenia</w:t>
            </w:r>
          </w:p>
        </w:tc>
      </w:tr>
    </w:tbl>
    <w:p>
      <w:pPr>
        <w:pStyle w:val="TableParagraph"/>
        <w:spacing w:after="0" w:line="259" w:lineRule="auto"/>
        <w:jc w:val="both"/>
        <w:rPr>
          <w:sz w:val="22"/>
        </w:rPr>
        <w:sectPr>
          <w:pgSz w:w="11910" w:h="16840"/>
          <w:pgMar w:top="1400" w:bottom="280" w:left="992" w:right="992"/>
        </w:sectPr>
      </w:pPr>
    </w:p>
    <w:p>
      <w:pPr>
        <w:pStyle w:val="ListParagraph"/>
        <w:numPr>
          <w:ilvl w:val="0"/>
          <w:numId w:val="1"/>
        </w:numPr>
        <w:tabs>
          <w:tab w:pos="1873" w:val="left" w:leader="none"/>
        </w:tabs>
        <w:spacing w:line="240" w:lineRule="auto" w:before="66" w:after="17"/>
        <w:ind w:left="1873" w:right="0" w:hanging="360"/>
        <w:jc w:val="left"/>
        <w:rPr>
          <w:b/>
          <w:sz w:val="18"/>
        </w:rPr>
      </w:pPr>
      <w:r>
        <w:rPr>
          <w:b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143936">
                <wp:simplePos x="0" y="0"/>
                <wp:positionH relativeFrom="page">
                  <wp:posOffset>685800</wp:posOffset>
                </wp:positionH>
                <wp:positionV relativeFrom="paragraph">
                  <wp:posOffset>4063</wp:posOffset>
                </wp:positionV>
                <wp:extent cx="6231890" cy="81502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31890" cy="8150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31890" h="8150225">
                              <a:moveTo>
                                <a:pt x="6225159" y="0"/>
                              </a:moveTo>
                              <a:lnTo>
                                <a:pt x="622515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8100"/>
                              </a:lnTo>
                              <a:lnTo>
                                <a:pt x="0" y="8144015"/>
                              </a:lnTo>
                              <a:lnTo>
                                <a:pt x="0" y="8150098"/>
                              </a:lnTo>
                              <a:lnTo>
                                <a:pt x="6096" y="8150098"/>
                              </a:lnTo>
                              <a:lnTo>
                                <a:pt x="605282" y="8150098"/>
                              </a:lnTo>
                              <a:lnTo>
                                <a:pt x="611378" y="8150098"/>
                              </a:lnTo>
                              <a:lnTo>
                                <a:pt x="6225159" y="8150098"/>
                              </a:lnTo>
                              <a:lnTo>
                                <a:pt x="6225159" y="8144015"/>
                              </a:lnTo>
                              <a:lnTo>
                                <a:pt x="611378" y="8144015"/>
                              </a:lnTo>
                              <a:lnTo>
                                <a:pt x="611378" y="38100"/>
                              </a:lnTo>
                              <a:lnTo>
                                <a:pt x="611378" y="6108"/>
                              </a:lnTo>
                              <a:lnTo>
                                <a:pt x="605282" y="6108"/>
                              </a:lnTo>
                              <a:lnTo>
                                <a:pt x="605282" y="38100"/>
                              </a:lnTo>
                              <a:lnTo>
                                <a:pt x="605282" y="8144015"/>
                              </a:lnTo>
                              <a:lnTo>
                                <a:pt x="6096" y="8144015"/>
                              </a:lnTo>
                              <a:lnTo>
                                <a:pt x="6096" y="38100"/>
                              </a:lnTo>
                              <a:lnTo>
                                <a:pt x="6096" y="6096"/>
                              </a:lnTo>
                              <a:lnTo>
                                <a:pt x="605282" y="6096"/>
                              </a:lnTo>
                              <a:lnTo>
                                <a:pt x="611378" y="6096"/>
                              </a:lnTo>
                              <a:lnTo>
                                <a:pt x="6225159" y="6096"/>
                              </a:lnTo>
                              <a:lnTo>
                                <a:pt x="6225159" y="0"/>
                              </a:lnTo>
                              <a:close/>
                            </a:path>
                            <a:path w="6231890" h="8150225">
                              <a:moveTo>
                                <a:pt x="6231369" y="0"/>
                              </a:moveTo>
                              <a:lnTo>
                                <a:pt x="6225286" y="0"/>
                              </a:lnTo>
                              <a:lnTo>
                                <a:pt x="6225286" y="6096"/>
                              </a:lnTo>
                              <a:lnTo>
                                <a:pt x="6225286" y="38100"/>
                              </a:lnTo>
                              <a:lnTo>
                                <a:pt x="6225286" y="8144015"/>
                              </a:lnTo>
                              <a:lnTo>
                                <a:pt x="6225286" y="8150098"/>
                              </a:lnTo>
                              <a:lnTo>
                                <a:pt x="6231369" y="8150098"/>
                              </a:lnTo>
                              <a:lnTo>
                                <a:pt x="6231369" y="8144015"/>
                              </a:lnTo>
                              <a:lnTo>
                                <a:pt x="6231369" y="38100"/>
                              </a:lnTo>
                              <a:lnTo>
                                <a:pt x="6231369" y="6096"/>
                              </a:lnTo>
                              <a:lnTo>
                                <a:pt x="623136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.000004pt;margin-top:.319963pt;width:490.7pt;height:641.75pt;mso-position-horizontal-relative:page;mso-position-vertical-relative:paragraph;z-index:-16172544" id="docshape1" coordorigin="1080,6" coordsize="9814,12835" path="m10883,6l2043,6,2033,6,2033,6,1090,6,1080,6,1080,16,1080,66,1080,12832,1080,12841,1090,12841,2033,12841,2033,12841,2043,12841,10883,12841,10883,12832,2043,12832,2043,66,2043,16,2033,16,2033,66,2033,12832,1090,12832,1090,66,1090,16,2033,16,2033,16,2043,16,10883,16,10883,6xm10893,6l10884,6,10884,16,10884,66,10884,12832,10884,12841,10893,12841,10893,12832,10893,66,10893,16,10893,6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b/>
          <w:sz w:val="18"/>
        </w:rPr>
        <w:t>Środki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trwałe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zmiana</w:t>
      </w:r>
      <w:r>
        <w:rPr>
          <w:b/>
          <w:spacing w:val="-2"/>
          <w:sz w:val="18"/>
        </w:rPr>
        <w:t> </w:t>
      </w:r>
      <w:r>
        <w:rPr>
          <w:b/>
          <w:sz w:val="18"/>
        </w:rPr>
        <w:t>wartości</w:t>
      </w:r>
      <w:r>
        <w:rPr>
          <w:b/>
          <w:spacing w:val="-4"/>
          <w:sz w:val="18"/>
        </w:rPr>
        <w:t> </w:t>
      </w:r>
      <w:r>
        <w:rPr>
          <w:b/>
          <w:spacing w:val="-2"/>
          <w:sz w:val="18"/>
        </w:rPr>
        <w:t>początkowej</w:t>
      </w:r>
    </w:p>
    <w:tbl>
      <w:tblPr>
        <w:tblW w:w="0" w:type="auto"/>
        <w:jc w:val="left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6"/>
        <w:gridCol w:w="1829"/>
        <w:gridCol w:w="1653"/>
        <w:gridCol w:w="1329"/>
        <w:gridCol w:w="1401"/>
        <w:gridCol w:w="1493"/>
      </w:tblGrid>
      <w:tr>
        <w:trPr>
          <w:trHeight w:val="733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ind w:left="134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ind w:left="258"/>
              <w:rPr>
                <w:sz w:val="18"/>
              </w:rPr>
            </w:pPr>
            <w:r>
              <w:rPr>
                <w:spacing w:val="-2"/>
                <w:sz w:val="18"/>
              </w:rPr>
              <w:t>Wyszczególnienie</w:t>
            </w:r>
          </w:p>
        </w:tc>
        <w:tc>
          <w:tcPr>
            <w:tcW w:w="1653" w:type="dxa"/>
          </w:tcPr>
          <w:p>
            <w:pPr>
              <w:pStyle w:val="TableParagraph"/>
              <w:spacing w:line="261" w:lineRule="auto" w:before="45"/>
              <w:ind w:left="403" w:firstLine="139"/>
              <w:rPr>
                <w:sz w:val="18"/>
              </w:rPr>
            </w:pPr>
            <w:r>
              <w:rPr>
                <w:spacing w:val="-2"/>
                <w:sz w:val="18"/>
              </w:rPr>
              <w:t>Wartość początkowa</w:t>
            </w:r>
          </w:p>
        </w:tc>
        <w:tc>
          <w:tcPr>
            <w:tcW w:w="1329" w:type="dxa"/>
          </w:tcPr>
          <w:p>
            <w:pPr>
              <w:pStyle w:val="TableParagraph"/>
              <w:spacing w:before="45"/>
              <w:ind w:left="15" w:right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Zwiększenie</w:t>
            </w:r>
          </w:p>
        </w:tc>
        <w:tc>
          <w:tcPr>
            <w:tcW w:w="1401" w:type="dxa"/>
          </w:tcPr>
          <w:p>
            <w:pPr>
              <w:pStyle w:val="TableParagraph"/>
              <w:spacing w:before="45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Zmniejszenie</w:t>
            </w:r>
          </w:p>
        </w:tc>
        <w:tc>
          <w:tcPr>
            <w:tcW w:w="1493" w:type="dxa"/>
          </w:tcPr>
          <w:p>
            <w:pPr>
              <w:pStyle w:val="TableParagraph"/>
              <w:spacing w:before="45"/>
              <w:ind w:left="4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końcowa</w:t>
            </w:r>
          </w:p>
        </w:tc>
      </w:tr>
      <w:tr>
        <w:trPr>
          <w:trHeight w:val="494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0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4.980,72</w:t>
            </w:r>
          </w:p>
        </w:tc>
        <w:tc>
          <w:tcPr>
            <w:tcW w:w="1329" w:type="dxa"/>
          </w:tcPr>
          <w:p>
            <w:pPr>
              <w:pStyle w:val="TableParagraph"/>
              <w:spacing w:before="45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01" w:type="dxa"/>
          </w:tcPr>
          <w:p>
            <w:pPr>
              <w:pStyle w:val="TableParagraph"/>
              <w:spacing w:before="45"/>
              <w:ind w:left="14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3" w:type="dxa"/>
          </w:tcPr>
          <w:p>
            <w:pPr>
              <w:pStyle w:val="TableParagraph"/>
              <w:spacing w:before="45"/>
              <w:ind w:left="43" w:right="3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4.980,72</w:t>
            </w:r>
          </w:p>
        </w:tc>
      </w:tr>
      <w:tr>
        <w:trPr>
          <w:trHeight w:val="496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1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799.282,39</w:t>
            </w:r>
          </w:p>
        </w:tc>
        <w:tc>
          <w:tcPr>
            <w:tcW w:w="1329" w:type="dxa"/>
          </w:tcPr>
          <w:p>
            <w:pPr>
              <w:pStyle w:val="TableParagraph"/>
              <w:spacing w:before="45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01" w:type="dxa"/>
          </w:tcPr>
          <w:p>
            <w:pPr>
              <w:pStyle w:val="TableParagraph"/>
              <w:spacing w:before="45"/>
              <w:ind w:left="14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3" w:type="dxa"/>
          </w:tcPr>
          <w:p>
            <w:pPr>
              <w:pStyle w:val="TableParagraph"/>
              <w:spacing w:before="45"/>
              <w:ind w:left="43" w:right="3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799.282,39</w:t>
            </w:r>
          </w:p>
        </w:tc>
      </w:tr>
      <w:tr>
        <w:trPr>
          <w:trHeight w:val="491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5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4.303,77</w:t>
            </w:r>
          </w:p>
        </w:tc>
        <w:tc>
          <w:tcPr>
            <w:tcW w:w="1329" w:type="dxa"/>
          </w:tcPr>
          <w:p>
            <w:pPr>
              <w:pStyle w:val="TableParagraph"/>
              <w:spacing w:before="45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01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93" w:type="dxa"/>
          </w:tcPr>
          <w:p>
            <w:pPr>
              <w:pStyle w:val="TableParagraph"/>
              <w:spacing w:before="45"/>
              <w:ind w:left="43" w:right="3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4.303,77</w:t>
            </w:r>
          </w:p>
        </w:tc>
      </w:tr>
      <w:tr>
        <w:trPr>
          <w:trHeight w:val="493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6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 w:right="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33.047,04</w:t>
            </w:r>
          </w:p>
        </w:tc>
        <w:tc>
          <w:tcPr>
            <w:tcW w:w="1329" w:type="dxa"/>
          </w:tcPr>
          <w:p>
            <w:pPr>
              <w:pStyle w:val="TableParagraph"/>
              <w:spacing w:before="45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01" w:type="dxa"/>
          </w:tcPr>
          <w:p>
            <w:pPr>
              <w:pStyle w:val="TableParagraph"/>
              <w:spacing w:before="45"/>
              <w:ind w:left="14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3" w:type="dxa"/>
          </w:tcPr>
          <w:p>
            <w:pPr>
              <w:pStyle w:val="TableParagraph"/>
              <w:spacing w:before="45"/>
              <w:ind w:left="43" w:right="3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33.047,04</w:t>
            </w:r>
          </w:p>
        </w:tc>
      </w:tr>
      <w:tr>
        <w:trPr>
          <w:trHeight w:val="497" w:hRule="atLeast"/>
        </w:trPr>
        <w:tc>
          <w:tcPr>
            <w:tcW w:w="51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7 </w:t>
            </w:r>
            <w:r>
              <w:rPr>
                <w:spacing w:val="-2"/>
                <w:sz w:val="18"/>
              </w:rPr>
              <w:t>(011)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329" w:type="dxa"/>
          </w:tcPr>
          <w:p>
            <w:pPr>
              <w:pStyle w:val="TableParagraph"/>
              <w:spacing w:before="45"/>
              <w:ind w:left="15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104.990,00</w:t>
            </w:r>
          </w:p>
        </w:tc>
        <w:tc>
          <w:tcPr>
            <w:tcW w:w="1401" w:type="dxa"/>
          </w:tcPr>
          <w:p>
            <w:pPr>
              <w:pStyle w:val="TableParagraph"/>
              <w:spacing w:before="45"/>
              <w:ind w:left="14" w:right="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3" w:type="dxa"/>
          </w:tcPr>
          <w:p>
            <w:pPr>
              <w:pStyle w:val="TableParagraph"/>
              <w:spacing w:before="45"/>
              <w:ind w:left="43" w:right="3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104.990,00</w:t>
            </w:r>
          </w:p>
        </w:tc>
      </w:tr>
      <w:tr>
        <w:trPr>
          <w:trHeight w:val="491" w:hRule="atLeast"/>
        </w:trPr>
        <w:tc>
          <w:tcPr>
            <w:tcW w:w="516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29" w:type="dxa"/>
          </w:tcPr>
          <w:p>
            <w:pPr>
              <w:pStyle w:val="TableParagraph"/>
              <w:spacing w:before="45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razem</w:t>
            </w:r>
          </w:p>
        </w:tc>
        <w:tc>
          <w:tcPr>
            <w:tcW w:w="1653" w:type="dxa"/>
          </w:tcPr>
          <w:p>
            <w:pPr>
              <w:pStyle w:val="TableParagraph"/>
              <w:spacing w:before="45"/>
              <w:ind w:left="11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841.613,92</w:t>
            </w:r>
          </w:p>
        </w:tc>
        <w:tc>
          <w:tcPr>
            <w:tcW w:w="1329" w:type="dxa"/>
          </w:tcPr>
          <w:p>
            <w:pPr>
              <w:pStyle w:val="TableParagraph"/>
              <w:spacing w:before="45"/>
              <w:ind w:left="15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104.990,00</w:t>
            </w:r>
          </w:p>
        </w:tc>
        <w:tc>
          <w:tcPr>
            <w:tcW w:w="1401" w:type="dxa"/>
          </w:tcPr>
          <w:p>
            <w:pPr>
              <w:pStyle w:val="TableParagraph"/>
              <w:spacing w:before="45"/>
              <w:ind w:left="14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-</w:t>
            </w:r>
          </w:p>
        </w:tc>
        <w:tc>
          <w:tcPr>
            <w:tcW w:w="1493" w:type="dxa"/>
          </w:tcPr>
          <w:p>
            <w:pPr>
              <w:pStyle w:val="TableParagraph"/>
              <w:spacing w:before="45"/>
              <w:ind w:left="43" w:right="3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946.603,92</w:t>
            </w:r>
          </w:p>
        </w:tc>
      </w:tr>
    </w:tbl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126"/>
        <w:rPr>
          <w:b/>
          <w:sz w:val="18"/>
        </w:rPr>
      </w:pPr>
    </w:p>
    <w:p>
      <w:pPr>
        <w:pStyle w:val="ListParagraph"/>
        <w:numPr>
          <w:ilvl w:val="0"/>
          <w:numId w:val="1"/>
        </w:numPr>
        <w:tabs>
          <w:tab w:pos="1873" w:val="left" w:leader="none"/>
        </w:tabs>
        <w:spacing w:line="240" w:lineRule="auto" w:before="0" w:after="17"/>
        <w:ind w:left="1873" w:right="0" w:hanging="360"/>
        <w:jc w:val="left"/>
        <w:rPr>
          <w:b/>
          <w:sz w:val="18"/>
        </w:rPr>
      </w:pPr>
      <w:r>
        <w:rPr>
          <w:b/>
          <w:sz w:val="18"/>
        </w:rPr>
        <w:t>Pozostałe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środki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trwałe</w:t>
      </w:r>
      <w:r>
        <w:rPr>
          <w:b/>
          <w:spacing w:val="-2"/>
          <w:sz w:val="18"/>
        </w:rPr>
        <w:t> </w:t>
      </w:r>
      <w:r>
        <w:rPr>
          <w:b/>
          <w:sz w:val="18"/>
        </w:rPr>
        <w:t>zmiana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wartości</w:t>
      </w:r>
      <w:r>
        <w:rPr>
          <w:b/>
          <w:spacing w:val="-2"/>
          <w:sz w:val="18"/>
        </w:rPr>
        <w:t> początkowej</w:t>
      </w:r>
    </w:p>
    <w:tbl>
      <w:tblPr>
        <w:tblW w:w="0" w:type="auto"/>
        <w:jc w:val="left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"/>
        <w:gridCol w:w="1541"/>
        <w:gridCol w:w="1658"/>
        <w:gridCol w:w="1330"/>
        <w:gridCol w:w="1406"/>
        <w:gridCol w:w="1495"/>
      </w:tblGrid>
      <w:tr>
        <w:trPr>
          <w:trHeight w:val="733" w:hRule="atLeast"/>
        </w:trPr>
        <w:tc>
          <w:tcPr>
            <w:tcW w:w="518" w:type="dxa"/>
          </w:tcPr>
          <w:p>
            <w:pPr>
              <w:pStyle w:val="TableParagraph"/>
              <w:spacing w:before="47"/>
              <w:ind w:left="134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541" w:type="dxa"/>
          </w:tcPr>
          <w:p>
            <w:pPr>
              <w:pStyle w:val="TableParagraph"/>
              <w:spacing w:before="47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Wyszczególnienie</w:t>
            </w:r>
          </w:p>
        </w:tc>
        <w:tc>
          <w:tcPr>
            <w:tcW w:w="1658" w:type="dxa"/>
          </w:tcPr>
          <w:p>
            <w:pPr>
              <w:pStyle w:val="TableParagraph"/>
              <w:spacing w:before="47"/>
              <w:ind w:left="111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początkowa</w:t>
            </w:r>
          </w:p>
        </w:tc>
        <w:tc>
          <w:tcPr>
            <w:tcW w:w="1330" w:type="dxa"/>
          </w:tcPr>
          <w:p>
            <w:pPr>
              <w:pStyle w:val="TableParagraph"/>
              <w:spacing w:before="47"/>
              <w:ind w:left="209"/>
              <w:rPr>
                <w:sz w:val="18"/>
              </w:rPr>
            </w:pPr>
            <w:r>
              <w:rPr>
                <w:spacing w:val="-2"/>
                <w:sz w:val="18"/>
              </w:rPr>
              <w:t>Zwiększenie</w:t>
            </w:r>
          </w:p>
        </w:tc>
        <w:tc>
          <w:tcPr>
            <w:tcW w:w="1406" w:type="dxa"/>
          </w:tcPr>
          <w:p>
            <w:pPr>
              <w:pStyle w:val="TableParagraph"/>
              <w:spacing w:before="47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Zmniejszenie</w:t>
            </w:r>
          </w:p>
        </w:tc>
        <w:tc>
          <w:tcPr>
            <w:tcW w:w="1495" w:type="dxa"/>
          </w:tcPr>
          <w:p>
            <w:pPr>
              <w:pStyle w:val="TableParagraph"/>
              <w:spacing w:before="47"/>
              <w:ind w:left="126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końcowa</w:t>
            </w:r>
          </w:p>
        </w:tc>
      </w:tr>
      <w:tr>
        <w:trPr>
          <w:trHeight w:val="1836" w:hRule="atLeast"/>
        </w:trPr>
        <w:tc>
          <w:tcPr>
            <w:tcW w:w="518" w:type="dxa"/>
          </w:tcPr>
          <w:p>
            <w:pPr>
              <w:pStyle w:val="TableParagraph"/>
              <w:spacing w:before="47"/>
              <w:ind w:lef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41" w:type="dxa"/>
          </w:tcPr>
          <w:p>
            <w:pPr>
              <w:pStyle w:val="TableParagraph"/>
              <w:spacing w:line="259" w:lineRule="auto" w:before="47"/>
              <w:ind w:left="48" w:right="35"/>
              <w:jc w:val="center"/>
              <w:rPr>
                <w:sz w:val="18"/>
              </w:rPr>
            </w:pPr>
            <w:r>
              <w:rPr>
                <w:sz w:val="18"/>
              </w:rPr>
              <w:t>Pozostałe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środki </w:t>
            </w:r>
            <w:r>
              <w:rPr>
                <w:spacing w:val="-4"/>
                <w:sz w:val="18"/>
              </w:rPr>
              <w:t>(013</w:t>
            </w:r>
          </w:p>
          <w:p>
            <w:pPr>
              <w:pStyle w:val="TableParagraph"/>
              <w:spacing w:before="91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line="259" w:lineRule="auto"/>
              <w:ind w:left="386" w:right="37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WNiP </w:t>
            </w:r>
            <w:r>
              <w:rPr>
                <w:spacing w:val="-2"/>
                <w:sz w:val="18"/>
              </w:rPr>
              <w:t>(020)</w:t>
            </w:r>
          </w:p>
        </w:tc>
        <w:tc>
          <w:tcPr>
            <w:tcW w:w="1658" w:type="dxa"/>
          </w:tcPr>
          <w:p>
            <w:pPr>
              <w:pStyle w:val="TableParagraph"/>
              <w:spacing w:before="47"/>
              <w:ind w:left="423"/>
              <w:rPr>
                <w:sz w:val="18"/>
              </w:rPr>
            </w:pPr>
            <w:r>
              <w:rPr>
                <w:spacing w:val="-2"/>
                <w:sz w:val="18"/>
              </w:rPr>
              <w:t>220.288,24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511"/>
              <w:rPr>
                <w:sz w:val="18"/>
              </w:rPr>
            </w:pPr>
            <w:r>
              <w:rPr>
                <w:spacing w:val="-2"/>
                <w:sz w:val="18"/>
              </w:rPr>
              <w:t>7.380,00</w:t>
            </w:r>
          </w:p>
        </w:tc>
        <w:tc>
          <w:tcPr>
            <w:tcW w:w="1330" w:type="dxa"/>
          </w:tcPr>
          <w:p>
            <w:pPr>
              <w:pStyle w:val="TableParagraph"/>
              <w:spacing w:before="47"/>
              <w:ind w:left="9" w:right="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43.972,20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06" w:type="dxa"/>
          </w:tcPr>
          <w:p>
            <w:pPr>
              <w:pStyle w:val="TableParagraph"/>
              <w:spacing w:before="47"/>
              <w:ind w:left="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495" w:type="dxa"/>
          </w:tcPr>
          <w:p>
            <w:pPr>
              <w:pStyle w:val="TableParagraph"/>
              <w:spacing w:before="47"/>
              <w:ind w:left="339"/>
              <w:rPr>
                <w:sz w:val="18"/>
              </w:rPr>
            </w:pPr>
            <w:r>
              <w:rPr>
                <w:spacing w:val="-2"/>
                <w:sz w:val="18"/>
              </w:rPr>
              <w:t>264.260,44</w:t>
            </w:r>
          </w:p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9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ind w:left="431"/>
              <w:rPr>
                <w:sz w:val="18"/>
              </w:rPr>
            </w:pPr>
            <w:r>
              <w:rPr>
                <w:spacing w:val="-2"/>
                <w:sz w:val="18"/>
              </w:rPr>
              <w:t>7.380,00</w:t>
            </w:r>
          </w:p>
        </w:tc>
      </w:tr>
    </w:tbl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121"/>
        <w:rPr>
          <w:b/>
          <w:sz w:val="18"/>
        </w:rPr>
      </w:pPr>
    </w:p>
    <w:p>
      <w:pPr>
        <w:pStyle w:val="ListParagraph"/>
        <w:numPr>
          <w:ilvl w:val="0"/>
          <w:numId w:val="1"/>
        </w:numPr>
        <w:tabs>
          <w:tab w:pos="1873" w:val="left" w:leader="none"/>
        </w:tabs>
        <w:spacing w:line="240" w:lineRule="auto" w:before="0" w:after="17"/>
        <w:ind w:left="1873" w:right="0" w:hanging="360"/>
        <w:jc w:val="left"/>
        <w:rPr>
          <w:b/>
          <w:sz w:val="18"/>
        </w:rPr>
      </w:pPr>
      <w:r>
        <w:rPr>
          <w:b/>
          <w:sz w:val="18"/>
        </w:rPr>
        <w:t>Zmiana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wartości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umorzenia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środki</w:t>
      </w:r>
      <w:r>
        <w:rPr>
          <w:b/>
          <w:spacing w:val="-4"/>
          <w:sz w:val="18"/>
        </w:rPr>
        <w:t> </w:t>
      </w:r>
      <w:r>
        <w:rPr>
          <w:b/>
          <w:spacing w:val="-2"/>
          <w:sz w:val="18"/>
        </w:rPr>
        <w:t>trwałe</w:t>
      </w:r>
    </w:p>
    <w:tbl>
      <w:tblPr>
        <w:tblW w:w="0" w:type="auto"/>
        <w:jc w:val="left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6"/>
        <w:gridCol w:w="1539"/>
        <w:gridCol w:w="1277"/>
        <w:gridCol w:w="1304"/>
        <w:gridCol w:w="1028"/>
        <w:gridCol w:w="1593"/>
        <w:gridCol w:w="1336"/>
      </w:tblGrid>
      <w:tr>
        <w:trPr>
          <w:trHeight w:val="1213" w:hRule="atLeast"/>
        </w:trPr>
        <w:tc>
          <w:tcPr>
            <w:tcW w:w="516" w:type="dxa"/>
          </w:tcPr>
          <w:p>
            <w:pPr>
              <w:pStyle w:val="TableParagraph"/>
              <w:spacing w:before="50"/>
              <w:ind w:left="163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539" w:type="dxa"/>
          </w:tcPr>
          <w:p>
            <w:pPr>
              <w:pStyle w:val="TableParagraph"/>
              <w:spacing w:before="50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Wyszczególnienie</w:t>
            </w:r>
          </w:p>
        </w:tc>
        <w:tc>
          <w:tcPr>
            <w:tcW w:w="1277" w:type="dxa"/>
          </w:tcPr>
          <w:p>
            <w:pPr>
              <w:pStyle w:val="TableParagraph"/>
              <w:spacing w:line="268" w:lineRule="auto" w:before="50"/>
              <w:ind w:left="189" w:right="213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Wartość początkowa umorzenia ogólne</w:t>
            </w:r>
          </w:p>
        </w:tc>
        <w:tc>
          <w:tcPr>
            <w:tcW w:w="1304" w:type="dxa"/>
          </w:tcPr>
          <w:p>
            <w:pPr>
              <w:pStyle w:val="TableParagraph"/>
              <w:spacing w:before="50"/>
              <w:ind w:left="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zw.</w:t>
            </w:r>
          </w:p>
        </w:tc>
        <w:tc>
          <w:tcPr>
            <w:tcW w:w="1028" w:type="dxa"/>
          </w:tcPr>
          <w:p>
            <w:pPr>
              <w:pStyle w:val="TableParagraph"/>
              <w:spacing w:before="50"/>
              <w:ind w:left="407"/>
              <w:rPr>
                <w:sz w:val="18"/>
              </w:rPr>
            </w:pPr>
            <w:r>
              <w:rPr>
                <w:spacing w:val="-5"/>
                <w:sz w:val="18"/>
              </w:rPr>
              <w:t>zm</w:t>
            </w:r>
          </w:p>
        </w:tc>
        <w:tc>
          <w:tcPr>
            <w:tcW w:w="1593" w:type="dxa"/>
          </w:tcPr>
          <w:p>
            <w:pPr>
              <w:pStyle w:val="TableParagraph"/>
              <w:spacing w:line="259" w:lineRule="auto" w:before="50"/>
              <w:ind w:left="444" w:right="195" w:hanging="279"/>
              <w:rPr>
                <w:sz w:val="18"/>
              </w:rPr>
            </w:pPr>
            <w:r>
              <w:rPr>
                <w:sz w:val="18"/>
              </w:rPr>
              <w:t>Suma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umorzenia </w:t>
            </w:r>
            <w:r>
              <w:rPr>
                <w:spacing w:val="-2"/>
                <w:sz w:val="18"/>
              </w:rPr>
              <w:t>rocznego</w:t>
            </w:r>
          </w:p>
        </w:tc>
        <w:tc>
          <w:tcPr>
            <w:tcW w:w="1336" w:type="dxa"/>
          </w:tcPr>
          <w:p>
            <w:pPr>
              <w:pStyle w:val="TableParagraph"/>
              <w:spacing w:line="259" w:lineRule="auto" w:before="50"/>
              <w:ind w:left="410" w:hanging="154"/>
              <w:rPr>
                <w:sz w:val="18"/>
              </w:rPr>
            </w:pPr>
            <w:r>
              <w:rPr>
                <w:spacing w:val="-2"/>
                <w:sz w:val="18"/>
              </w:rPr>
              <w:t>Umorzenia ogólne</w:t>
            </w:r>
          </w:p>
        </w:tc>
      </w:tr>
      <w:tr>
        <w:trPr>
          <w:trHeight w:val="936" w:hRule="atLeast"/>
        </w:trPr>
        <w:tc>
          <w:tcPr>
            <w:tcW w:w="516" w:type="dxa"/>
          </w:tcPr>
          <w:p>
            <w:pPr>
              <w:pStyle w:val="TableParagraph"/>
              <w:spacing w:before="47"/>
              <w:ind w:left="11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39" w:type="dxa"/>
          </w:tcPr>
          <w:p>
            <w:pPr>
              <w:pStyle w:val="TableParagraph"/>
              <w:spacing w:before="47"/>
              <w:ind w:left="110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1 </w:t>
            </w:r>
            <w:r>
              <w:rPr>
                <w:spacing w:val="-2"/>
                <w:sz w:val="18"/>
              </w:rPr>
              <w:t>(071)</w:t>
            </w:r>
          </w:p>
        </w:tc>
        <w:tc>
          <w:tcPr>
            <w:tcW w:w="1277" w:type="dxa"/>
          </w:tcPr>
          <w:p>
            <w:pPr>
              <w:pStyle w:val="TableParagraph"/>
              <w:spacing w:before="47"/>
              <w:ind w:left="0" w:right="91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164.589,66</w:t>
            </w:r>
          </w:p>
        </w:tc>
        <w:tc>
          <w:tcPr>
            <w:tcW w:w="1304" w:type="dxa"/>
          </w:tcPr>
          <w:p>
            <w:pPr>
              <w:pStyle w:val="TableParagraph"/>
              <w:spacing w:before="47"/>
              <w:ind w:left="0" w:right="96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28" w:type="dxa"/>
          </w:tcPr>
          <w:p>
            <w:pPr>
              <w:pStyle w:val="TableParagraph"/>
              <w:spacing w:before="47"/>
              <w:ind w:left="0" w:right="9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593" w:type="dxa"/>
          </w:tcPr>
          <w:p>
            <w:pPr>
              <w:pStyle w:val="TableParagraph"/>
              <w:spacing w:before="47"/>
              <w:ind w:left="0" w:right="99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19.982,06</w:t>
            </w:r>
          </w:p>
        </w:tc>
        <w:tc>
          <w:tcPr>
            <w:tcW w:w="1336" w:type="dxa"/>
          </w:tcPr>
          <w:p>
            <w:pPr>
              <w:pStyle w:val="TableParagraph"/>
              <w:spacing w:before="47"/>
              <w:ind w:left="0" w:right="9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203.834,46</w:t>
            </w:r>
          </w:p>
        </w:tc>
      </w:tr>
      <w:tr>
        <w:trPr>
          <w:trHeight w:val="558" w:hRule="atLeast"/>
        </w:trPr>
        <w:tc>
          <w:tcPr>
            <w:tcW w:w="516" w:type="dxa"/>
          </w:tcPr>
          <w:p>
            <w:pPr>
              <w:pStyle w:val="TableParagraph"/>
              <w:spacing w:before="47"/>
              <w:ind w:left="112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39" w:type="dxa"/>
          </w:tcPr>
          <w:p>
            <w:pPr>
              <w:pStyle w:val="TableParagraph"/>
              <w:spacing w:before="47"/>
              <w:ind w:left="110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6 </w:t>
            </w:r>
            <w:r>
              <w:rPr>
                <w:spacing w:val="-2"/>
                <w:sz w:val="18"/>
              </w:rPr>
              <w:t>(071)</w:t>
            </w:r>
          </w:p>
        </w:tc>
        <w:tc>
          <w:tcPr>
            <w:tcW w:w="1277" w:type="dxa"/>
          </w:tcPr>
          <w:p>
            <w:pPr>
              <w:pStyle w:val="TableParagraph"/>
              <w:spacing w:before="47"/>
              <w:ind w:left="0" w:right="93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19.843,07</w:t>
            </w:r>
          </w:p>
        </w:tc>
        <w:tc>
          <w:tcPr>
            <w:tcW w:w="1304" w:type="dxa"/>
          </w:tcPr>
          <w:p>
            <w:pPr>
              <w:pStyle w:val="TableParagraph"/>
              <w:spacing w:before="47"/>
              <w:ind w:left="0" w:right="96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28" w:type="dxa"/>
          </w:tcPr>
          <w:p>
            <w:pPr>
              <w:pStyle w:val="TableParagraph"/>
              <w:spacing w:before="47"/>
              <w:ind w:left="0" w:right="9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593" w:type="dxa"/>
          </w:tcPr>
          <w:p>
            <w:pPr>
              <w:pStyle w:val="TableParagraph"/>
              <w:spacing w:before="47"/>
              <w:ind w:left="0" w:right="9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3.304,70</w:t>
            </w:r>
          </w:p>
        </w:tc>
        <w:tc>
          <w:tcPr>
            <w:tcW w:w="1336" w:type="dxa"/>
          </w:tcPr>
          <w:p>
            <w:pPr>
              <w:pStyle w:val="TableParagraph"/>
              <w:spacing w:before="47"/>
              <w:ind w:left="0" w:right="9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26.452,47</w:t>
            </w:r>
          </w:p>
        </w:tc>
      </w:tr>
      <w:tr>
        <w:trPr>
          <w:trHeight w:val="561" w:hRule="atLeast"/>
        </w:trPr>
        <w:tc>
          <w:tcPr>
            <w:tcW w:w="516" w:type="dxa"/>
          </w:tcPr>
          <w:p>
            <w:pPr>
              <w:pStyle w:val="TableParagraph"/>
              <w:spacing w:before="50"/>
              <w:ind w:left="112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539" w:type="dxa"/>
          </w:tcPr>
          <w:p>
            <w:pPr>
              <w:pStyle w:val="TableParagraph"/>
              <w:spacing w:before="50"/>
              <w:ind w:left="110"/>
              <w:rPr>
                <w:sz w:val="18"/>
              </w:rPr>
            </w:pPr>
            <w:r>
              <w:rPr>
                <w:sz w:val="18"/>
              </w:rPr>
              <w:t>Grupa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7 </w:t>
            </w:r>
            <w:r>
              <w:rPr>
                <w:spacing w:val="-2"/>
                <w:sz w:val="18"/>
              </w:rPr>
              <w:t>(071)</w:t>
            </w:r>
          </w:p>
        </w:tc>
        <w:tc>
          <w:tcPr>
            <w:tcW w:w="1277" w:type="dxa"/>
          </w:tcPr>
          <w:p>
            <w:pPr>
              <w:pStyle w:val="TableParagraph"/>
              <w:spacing w:before="50"/>
              <w:ind w:left="0" w:right="8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304" w:type="dxa"/>
          </w:tcPr>
          <w:p>
            <w:pPr>
              <w:pStyle w:val="TableParagraph"/>
              <w:spacing w:before="52"/>
              <w:ind w:left="83"/>
              <w:rPr>
                <w:sz w:val="18"/>
              </w:rPr>
            </w:pPr>
            <w:r>
              <w:rPr>
                <w:spacing w:val="-2"/>
                <w:sz w:val="18"/>
              </w:rPr>
              <w:t>104.990,00</w:t>
            </w:r>
          </w:p>
        </w:tc>
        <w:tc>
          <w:tcPr>
            <w:tcW w:w="1028" w:type="dxa"/>
          </w:tcPr>
          <w:p>
            <w:pPr>
              <w:pStyle w:val="TableParagraph"/>
              <w:spacing w:before="50"/>
              <w:ind w:left="378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93" w:type="dxa"/>
          </w:tcPr>
          <w:p>
            <w:pPr>
              <w:pStyle w:val="TableParagraph"/>
              <w:spacing w:before="50"/>
              <w:ind w:left="0" w:right="96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1336" w:type="dxa"/>
          </w:tcPr>
          <w:p>
            <w:pPr>
              <w:pStyle w:val="TableParagraph"/>
              <w:spacing w:before="50"/>
              <w:ind w:left="0" w:right="9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104.990,00</w:t>
            </w:r>
          </w:p>
        </w:tc>
      </w:tr>
      <w:tr>
        <w:trPr>
          <w:trHeight w:val="505" w:hRule="atLeast"/>
        </w:trPr>
        <w:tc>
          <w:tcPr>
            <w:tcW w:w="516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39" w:type="dxa"/>
          </w:tcPr>
          <w:p>
            <w:pPr>
              <w:pStyle w:val="TableParagraph"/>
              <w:spacing w:before="47"/>
              <w:ind w:left="11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Razem</w:t>
            </w:r>
          </w:p>
        </w:tc>
        <w:tc>
          <w:tcPr>
            <w:tcW w:w="1277" w:type="dxa"/>
          </w:tcPr>
          <w:p>
            <w:pPr>
              <w:pStyle w:val="TableParagraph"/>
              <w:spacing w:before="47"/>
              <w:ind w:left="0" w:right="91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184.432,73</w:t>
            </w:r>
          </w:p>
        </w:tc>
        <w:tc>
          <w:tcPr>
            <w:tcW w:w="1304" w:type="dxa"/>
          </w:tcPr>
          <w:p>
            <w:pPr>
              <w:pStyle w:val="TableParagraph"/>
              <w:spacing w:before="48"/>
              <w:ind w:left="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104.990,00</w:t>
            </w:r>
          </w:p>
        </w:tc>
        <w:tc>
          <w:tcPr>
            <w:tcW w:w="1028" w:type="dxa"/>
          </w:tcPr>
          <w:p>
            <w:pPr>
              <w:pStyle w:val="TableParagraph"/>
              <w:spacing w:before="47"/>
              <w:ind w:left="0" w:right="97"/>
              <w:jc w:val="right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-</w:t>
            </w:r>
          </w:p>
        </w:tc>
        <w:tc>
          <w:tcPr>
            <w:tcW w:w="1593" w:type="dxa"/>
          </w:tcPr>
          <w:p>
            <w:pPr>
              <w:pStyle w:val="TableParagraph"/>
              <w:spacing w:before="47"/>
              <w:ind w:left="0" w:right="99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23.286,76</w:t>
            </w:r>
          </w:p>
        </w:tc>
        <w:tc>
          <w:tcPr>
            <w:tcW w:w="1336" w:type="dxa"/>
          </w:tcPr>
          <w:p>
            <w:pPr>
              <w:pStyle w:val="TableParagraph"/>
              <w:spacing w:before="47"/>
              <w:ind w:left="0" w:right="95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335.276,93</w:t>
            </w:r>
          </w:p>
        </w:tc>
      </w:tr>
    </w:tbl>
    <w:p>
      <w:pPr>
        <w:pStyle w:val="TableParagraph"/>
        <w:spacing w:after="0"/>
        <w:jc w:val="right"/>
        <w:rPr>
          <w:b/>
          <w:sz w:val="18"/>
        </w:rPr>
        <w:sectPr>
          <w:pgSz w:w="11910" w:h="16840"/>
          <w:pgMar w:top="1420" w:bottom="280" w:left="992" w:right="992"/>
        </w:sectPr>
      </w:pPr>
    </w:p>
    <w:p>
      <w:pPr>
        <w:spacing w:line="240" w:lineRule="auto" w:before="3"/>
        <w:rPr>
          <w:b/>
          <w:sz w:val="2"/>
        </w:rPr>
      </w:pPr>
      <w:r>
        <w:rPr>
          <w:b/>
          <w:sz w:val="2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1327657</wp:posOffset>
                </wp:positionH>
                <wp:positionV relativeFrom="page">
                  <wp:posOffset>1440433</wp:posOffset>
                </wp:positionV>
                <wp:extent cx="4920615" cy="1776095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4920615" cy="1776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518"/>
                              <w:gridCol w:w="1539"/>
                              <w:gridCol w:w="1733"/>
                              <w:gridCol w:w="1136"/>
                              <w:gridCol w:w="992"/>
                              <w:gridCol w:w="1703"/>
                            </w:tblGrid>
                            <w:tr>
                              <w:trPr>
                                <w:trHeight w:val="1165" w:hRule="atLeast"/>
                              </w:trPr>
                              <w:tc>
                                <w:tcPr>
                                  <w:tcW w:w="518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3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0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733" w:type="dxa"/>
                                </w:tcPr>
                                <w:p>
                                  <w:pPr>
                                    <w:pStyle w:val="TableParagraph"/>
                                    <w:spacing w:line="259" w:lineRule="auto" w:before="50"/>
                                    <w:ind w:left="213" w:hanging="9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Wartość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początkowa </w:t>
                                  </w:r>
                                  <w:r>
                                    <w:rPr>
                                      <w:sz w:val="18"/>
                                    </w:rPr>
                                    <w:t>umorzenia ogólne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0" w:right="3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zw.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0" w:right="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zm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7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Umorzenia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ogólne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18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5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1221" w:val="left" w:leader="none"/>
                                    </w:tabs>
                                    <w:spacing w:line="199" w:lineRule="exact" w:before="50"/>
                                    <w:ind w:left="10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Pozostałe</w:t>
                                  </w:r>
                                  <w:r>
                                    <w:rPr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ŚT</w:t>
                                  </w:r>
                                </w:p>
                              </w:tc>
                              <w:tc>
                                <w:tcPr>
                                  <w:tcW w:w="1733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50"/>
                                    <w:ind w:left="0" w:right="95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220.288,24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50"/>
                                    <w:ind w:left="0" w:right="98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50"/>
                                    <w:ind w:left="0" w:right="101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43972,2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9" w:lineRule="exact" w:before="50"/>
                                    <w:ind w:left="0" w:right="100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264.260,44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17" w:hRule="atLeast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93" w:lineRule="exact" w:before="4"/>
                                    <w:ind w:left="10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(072)</w:t>
                                  </w:r>
                                </w:p>
                              </w:tc>
                              <w:tc>
                                <w:tcPr>
                                  <w:tcW w:w="17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5" w:lineRule="exact"/>
                                    <w:ind w:left="0" w:right="98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856" w:hRule="atLeast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2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59" w:lineRule="auto" w:before="47"/>
                                    <w:ind w:left="105" w:right="97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>WNiP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(072)</w:t>
                                  </w:r>
                                </w:p>
                              </w:tc>
                              <w:tc>
                                <w:tcPr>
                                  <w:tcW w:w="1733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22"/>
                                    <w:ind w:left="0" w:right="95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7.380,00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22"/>
                                    <w:ind w:left="0" w:right="99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22"/>
                                    <w:ind w:left="0" w:right="100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7.380,00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104.539993pt;margin-top:113.419983pt;width:387.45pt;height:139.85pt;mso-position-horizontal-relative:page;mso-position-vertical-relative:page;z-index:15729152" type="#_x0000_t202" id="docshape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518"/>
                        <w:gridCol w:w="1539"/>
                        <w:gridCol w:w="1733"/>
                        <w:gridCol w:w="1136"/>
                        <w:gridCol w:w="992"/>
                        <w:gridCol w:w="1703"/>
                      </w:tblGrid>
                      <w:tr>
                        <w:trPr>
                          <w:trHeight w:val="1165" w:hRule="atLeast"/>
                        </w:trPr>
                        <w:tc>
                          <w:tcPr>
                            <w:tcW w:w="518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34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1539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733" w:type="dxa"/>
                          </w:tcPr>
                          <w:p>
                            <w:pPr>
                              <w:pStyle w:val="TableParagraph"/>
                              <w:spacing w:line="259" w:lineRule="auto" w:before="50"/>
                              <w:ind w:left="213" w:hanging="99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Wartość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początkowa </w:t>
                            </w:r>
                            <w:r>
                              <w:rPr>
                                <w:sz w:val="18"/>
                              </w:rPr>
                              <w:t>umorzenia ogólne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0" w:right="3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zw.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0" w:right="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zm</w:t>
                            </w:r>
                          </w:p>
                        </w:tc>
                        <w:tc>
                          <w:tcPr>
                            <w:tcW w:w="1703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7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Umorzenia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ogólne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18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50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1221" w:val="left" w:leader="none"/>
                              </w:tabs>
                              <w:spacing w:line="199" w:lineRule="exact" w:before="50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Pozostałe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ŚT</w:t>
                            </w:r>
                          </w:p>
                        </w:tc>
                        <w:tc>
                          <w:tcPr>
                            <w:tcW w:w="1733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50"/>
                              <w:ind w:left="0" w:right="95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220.288,24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50"/>
                              <w:ind w:left="0" w:right="98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50"/>
                              <w:ind w:left="0" w:right="101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43972,2</w:t>
                            </w:r>
                          </w:p>
                        </w:tc>
                        <w:tc>
                          <w:tcPr>
                            <w:tcW w:w="1703" w:type="dxa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9" w:lineRule="exact" w:before="50"/>
                              <w:ind w:left="0" w:right="10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264.260,44</w:t>
                            </w:r>
                          </w:p>
                        </w:tc>
                      </w:tr>
                      <w:tr>
                        <w:trPr>
                          <w:trHeight w:val="217" w:hRule="atLeast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193" w:lineRule="exact" w:before="4"/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(072)</w:t>
                            </w:r>
                          </w:p>
                        </w:tc>
                        <w:tc>
                          <w:tcPr>
                            <w:tcW w:w="1733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703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60" w:hRule="atLeast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33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spacing w:line="205" w:lineRule="exact"/>
                              <w:ind w:left="0" w:right="98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3" w:type="dxa"/>
                            <w:tcBorders>
                              <w:top w:val="nil"/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856" w:hRule="atLeast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before="12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line="259" w:lineRule="auto" w:before="47"/>
                              <w:ind w:left="105" w:right="970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</w:rPr>
                              <w:t>WNiP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(072)</w:t>
                            </w:r>
                          </w:p>
                        </w:tc>
                        <w:tc>
                          <w:tcPr>
                            <w:tcW w:w="1733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before="122"/>
                              <w:ind w:left="0" w:right="95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7.380,00</w:t>
                            </w:r>
                          </w:p>
                        </w:tc>
                        <w:tc>
                          <w:tcPr>
                            <w:tcW w:w="1136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before="122"/>
                              <w:ind w:left="0" w:right="99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703" w:type="dxa"/>
                            <w:tcBorders>
                              <w:top w:val="nil"/>
                            </w:tcBorders>
                          </w:tcPr>
                          <w:p>
                            <w:pPr>
                              <w:pStyle w:val="TableParagraph"/>
                              <w:spacing w:before="122"/>
                              <w:ind w:left="0" w:right="10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7.380,00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4591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spacing w:before="176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tabs>
                <w:tab w:pos="827" w:val="left" w:leader="none"/>
              </w:tabs>
              <w:ind w:left="46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4.</w:t>
            </w:r>
            <w:r>
              <w:rPr>
                <w:b/>
                <w:sz w:val="18"/>
              </w:rPr>
              <w:tab/>
              <w:t>Zmiana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wartości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umorzenia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pozostałe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środki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trwałe</w:t>
            </w:r>
          </w:p>
        </w:tc>
      </w:tr>
      <w:tr>
        <w:trPr>
          <w:trHeight w:val="846" w:hRule="atLeast"/>
        </w:trPr>
        <w:tc>
          <w:tcPr>
            <w:tcW w:w="953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spacing w:val="-4"/>
                <w:sz w:val="22"/>
              </w:rPr>
              <w:t>1.2.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6"/>
              <w:rPr>
                <w:sz w:val="22"/>
              </w:rPr>
            </w:pPr>
            <w:r>
              <w:rPr>
                <w:sz w:val="22"/>
              </w:rPr>
              <w:t>aktualną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wartość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rynkową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środków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trwałych,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tym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dóbr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kultury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ile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jednostka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dysponuje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takimi </w:t>
            </w:r>
            <w:r>
              <w:rPr>
                <w:spacing w:val="-2"/>
                <w:sz w:val="22"/>
              </w:rPr>
              <w:t>informacjami</w:t>
            </w:r>
          </w:p>
        </w:tc>
      </w:tr>
      <w:tr>
        <w:trPr>
          <w:trHeight w:val="72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6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137" w:hRule="atLeast"/>
        </w:trPr>
        <w:tc>
          <w:tcPr>
            <w:tcW w:w="953" w:type="dxa"/>
          </w:tcPr>
          <w:p>
            <w:pPr>
              <w:pStyle w:val="TableParagraph"/>
              <w:spacing w:before="53"/>
              <w:rPr>
                <w:sz w:val="22"/>
              </w:rPr>
            </w:pPr>
            <w:r>
              <w:rPr>
                <w:spacing w:val="-4"/>
                <w:sz w:val="22"/>
              </w:rPr>
              <w:t>1.3.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3"/>
              <w:ind w:right="99"/>
              <w:jc w:val="both"/>
              <w:rPr>
                <w:sz w:val="22"/>
              </w:rPr>
            </w:pPr>
            <w:r>
              <w:rPr>
                <w:sz w:val="22"/>
              </w:rPr>
              <w:t>kwotę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dokonanych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trakcie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roku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obrotowego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odpisów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aktualizujących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wartość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aktywów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trwałych odrębnie dla długoterminowych aktywów niefinansowych oraz długoterminowych aktywów </w:t>
            </w:r>
            <w:r>
              <w:rPr>
                <w:spacing w:val="-2"/>
                <w:sz w:val="22"/>
              </w:rPr>
              <w:t>finansowych</w:t>
            </w:r>
          </w:p>
        </w:tc>
      </w:tr>
      <w:tr>
        <w:trPr>
          <w:trHeight w:val="722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3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56" w:hRule="atLeast"/>
        </w:trPr>
        <w:tc>
          <w:tcPr>
            <w:tcW w:w="953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spacing w:val="-4"/>
                <w:sz w:val="22"/>
              </w:rPr>
              <w:t>1.4.</w:t>
            </w:r>
          </w:p>
        </w:tc>
        <w:tc>
          <w:tcPr>
            <w:tcW w:w="8850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sz w:val="22"/>
              </w:rPr>
              <w:t>wartość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gruntów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użytkowanych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wieczyście</w:t>
            </w:r>
          </w:p>
        </w:tc>
      </w:tr>
      <w:tr>
        <w:trPr>
          <w:trHeight w:val="72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6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47" w:hRule="atLeast"/>
        </w:trPr>
        <w:tc>
          <w:tcPr>
            <w:tcW w:w="953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spacing w:val="-4"/>
                <w:sz w:val="22"/>
              </w:rPr>
              <w:t>1.5.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6"/>
              <w:rPr>
                <w:sz w:val="22"/>
              </w:rPr>
            </w:pPr>
            <w:r>
              <w:rPr>
                <w:sz w:val="22"/>
              </w:rPr>
              <w:t>wartość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nieamortyzowanych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nieumarzanych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przez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jednostkę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środków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trwałych,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używanych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na podstawie umów najmu, dzierżawy i innych umów, w tym z tytułu umów leasingu</w:t>
            </w:r>
          </w:p>
        </w:tc>
      </w:tr>
      <w:tr>
        <w:trPr>
          <w:trHeight w:val="72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3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44" w:hRule="atLeast"/>
        </w:trPr>
        <w:tc>
          <w:tcPr>
            <w:tcW w:w="953" w:type="dxa"/>
          </w:tcPr>
          <w:p>
            <w:pPr>
              <w:pStyle w:val="TableParagraph"/>
              <w:spacing w:before="53"/>
              <w:rPr>
                <w:sz w:val="22"/>
              </w:rPr>
            </w:pPr>
            <w:r>
              <w:rPr>
                <w:spacing w:val="-4"/>
                <w:sz w:val="22"/>
              </w:rPr>
              <w:t>1.6.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3"/>
              <w:rPr>
                <w:sz w:val="22"/>
              </w:rPr>
            </w:pPr>
            <w:r>
              <w:rPr>
                <w:sz w:val="22"/>
              </w:rPr>
              <w:t>liczbę oraz wartość posiadanych papierów wartościowych, w tym akcji i udziałów oraz dłużnych papierów wartościowych</w:t>
            </w:r>
          </w:p>
        </w:tc>
      </w:tr>
      <w:tr>
        <w:trPr>
          <w:trHeight w:val="726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6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</w:tbl>
    <w:p>
      <w:pPr>
        <w:pStyle w:val="TableParagraph"/>
        <w:spacing w:after="0"/>
        <w:rPr>
          <w:b/>
          <w:sz w:val="22"/>
        </w:rPr>
        <w:sectPr>
          <w:pgSz w:w="11910" w:h="16840"/>
          <w:pgMar w:top="1400" w:bottom="280" w:left="992" w:right="992"/>
        </w:sectPr>
      </w:pPr>
    </w:p>
    <w:p>
      <w:pPr>
        <w:spacing w:line="240" w:lineRule="auto" w:before="3"/>
        <w:rPr>
          <w:b/>
          <w:sz w:val="2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1427" w:hRule="atLeast"/>
        </w:trPr>
        <w:tc>
          <w:tcPr>
            <w:tcW w:w="953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spacing w:val="-4"/>
                <w:sz w:val="22"/>
              </w:rPr>
              <w:t>1.7.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56"/>
              <w:ind w:right="96"/>
              <w:jc w:val="both"/>
              <w:rPr>
                <w:sz w:val="22"/>
              </w:rPr>
            </w:pPr>
            <w:r>
              <w:rPr>
                <w:sz w:val="22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terytorialnego (stan pożyczek </w:t>
            </w:r>
            <w:r>
              <w:rPr>
                <w:spacing w:val="-2"/>
                <w:sz w:val="22"/>
              </w:rPr>
              <w:t>zagrożonych)</w:t>
            </w:r>
          </w:p>
        </w:tc>
      </w:tr>
      <w:tr>
        <w:trPr>
          <w:trHeight w:val="72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53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</w:tbl>
    <w:p>
      <w:pPr>
        <w:spacing w:line="240" w:lineRule="auto" w:before="69" w:after="0"/>
        <w:rPr>
          <w:b/>
          <w:sz w:val="20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830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4"/>
                <w:sz w:val="22"/>
              </w:rPr>
              <w:t>1.8.</w:t>
            </w:r>
          </w:p>
        </w:tc>
        <w:tc>
          <w:tcPr>
            <w:tcW w:w="8850" w:type="dxa"/>
          </w:tcPr>
          <w:p>
            <w:pPr>
              <w:pStyle w:val="TableParagraph"/>
              <w:spacing w:line="256" w:lineRule="auto" w:before="39"/>
              <w:rPr>
                <w:sz w:val="22"/>
              </w:rPr>
            </w:pPr>
            <w:r>
              <w:rPr>
                <w:sz w:val="22"/>
              </w:rPr>
              <w:t>dane o stanie rezerw według celu ich utworzenia na początek roku obrotowego, zwiększeniach,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wykorzystaniu, rozwiązaniu i stanie końcowym</w:t>
            </w:r>
          </w:p>
        </w:tc>
      </w:tr>
      <w:tr>
        <w:trPr>
          <w:trHeight w:val="705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30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4"/>
                <w:sz w:val="22"/>
              </w:rPr>
              <w:t>1.9.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9"/>
              <w:rPr>
                <w:sz w:val="22"/>
              </w:rPr>
            </w:pPr>
            <w:r>
              <w:rPr>
                <w:sz w:val="22"/>
              </w:rPr>
              <w:t>podział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zobowiązań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długoterminowych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pozostałym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dnia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bilansowego,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przewidywanym umową lub wynikającym z innego tytułu prawnego, okresie spłaty: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5"/>
                <w:sz w:val="22"/>
              </w:rPr>
              <w:t>a)</w:t>
            </w:r>
          </w:p>
        </w:tc>
        <w:tc>
          <w:tcPr>
            <w:tcW w:w="8850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z w:val="22"/>
              </w:rPr>
              <w:t>powyżej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roku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lat</w:t>
            </w:r>
          </w:p>
        </w:tc>
      </w:tr>
      <w:tr>
        <w:trPr>
          <w:trHeight w:val="705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40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5"/>
                <w:sz w:val="22"/>
              </w:rPr>
              <w:t>b)</w:t>
            </w: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z w:val="22"/>
              </w:rPr>
              <w:t>powyżej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lat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5"/>
                <w:sz w:val="22"/>
              </w:rPr>
              <w:t>c)</w:t>
            </w:r>
          </w:p>
        </w:tc>
        <w:tc>
          <w:tcPr>
            <w:tcW w:w="8850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z w:val="22"/>
              </w:rPr>
              <w:t>powyżej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lat</w:t>
            </w:r>
          </w:p>
        </w:tc>
      </w:tr>
      <w:tr>
        <w:trPr>
          <w:trHeight w:val="705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411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2"/>
                <w:sz w:val="22"/>
              </w:rPr>
              <w:t>1.10.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9"/>
              <w:ind w:right="95"/>
              <w:jc w:val="both"/>
              <w:rPr>
                <w:sz w:val="22"/>
              </w:rPr>
            </w:pPr>
            <w:r>
              <w:rPr>
                <w:sz w:val="22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2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2"/>
                <w:sz w:val="22"/>
              </w:rPr>
              <w:t>1.11.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7"/>
              <w:rPr>
                <w:sz w:val="22"/>
              </w:rPr>
            </w:pPr>
            <w:r>
              <w:rPr>
                <w:sz w:val="22"/>
              </w:rPr>
              <w:t>łączną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kwotę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zobowiązań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zabezpieczonych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majątku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jednostki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ze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wskazaniem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charakteru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formy tych zabezpieczeń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123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2"/>
                <w:sz w:val="22"/>
              </w:rPr>
              <w:t>1.12.</w:t>
            </w:r>
          </w:p>
        </w:tc>
        <w:tc>
          <w:tcPr>
            <w:tcW w:w="8850" w:type="dxa"/>
          </w:tcPr>
          <w:p>
            <w:pPr>
              <w:pStyle w:val="TableParagraph"/>
              <w:spacing w:line="273" w:lineRule="auto" w:before="39"/>
              <w:rPr>
                <w:sz w:val="22"/>
              </w:rPr>
            </w:pPr>
            <w:r>
              <w:rPr>
                <w:sz w:val="22"/>
              </w:rPr>
              <w:t>łączną kwotę zobowiązań warunkowych, w tym również udzielonych przez jednostkę gwarancji i poręczeń, także wekslowych, niewykazanych w bilansie, ze wskazaniem zobowiązań</w:t>
            </w:r>
          </w:p>
          <w:p>
            <w:pPr>
              <w:pStyle w:val="TableParagraph"/>
              <w:spacing w:before="28"/>
              <w:rPr>
                <w:sz w:val="22"/>
              </w:rPr>
            </w:pPr>
            <w:r>
              <w:rPr>
                <w:sz w:val="22"/>
              </w:rPr>
              <w:t>zabezpieczonych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majątku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jednostki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oraz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charakteru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formy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tych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zabezpieczeń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pgSz w:w="11910" w:h="16840"/>
          <w:pgMar w:top="1400" w:bottom="280" w:left="992" w:right="992"/>
        </w:sectPr>
      </w:pPr>
    </w:p>
    <w:p>
      <w:pPr>
        <w:spacing w:line="240" w:lineRule="auto" w:before="3"/>
        <w:rPr>
          <w:b/>
          <w:sz w:val="2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708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11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2"/>
                <w:sz w:val="22"/>
              </w:rPr>
              <w:t>1.13.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7"/>
              <w:ind w:right="99"/>
              <w:jc w:val="both"/>
              <w:rPr>
                <w:sz w:val="22"/>
              </w:rPr>
            </w:pPr>
            <w:r>
              <w:rPr>
                <w:sz w:val="22"/>
              </w:rPr>
              <w:t>wykaz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istotnych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pozycji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czynnych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biernych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rozliczeń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międzyokresowych,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tym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kwotę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czynnych rozliczeń międzyokresowych kosztów stanowiących różnicę między wartością otrzymanych finansowych składników aktywów a zobowiązaniem zapłaty za nie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2"/>
                <w:sz w:val="22"/>
              </w:rPr>
              <w:t>1.14.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z w:val="22"/>
              </w:rPr>
              <w:t>łączną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kwotę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otrzymanych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przez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jednostkę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gwarancji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poręczeń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niewykazanych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bilansie</w:t>
            </w:r>
          </w:p>
        </w:tc>
      </w:tr>
      <w:tr>
        <w:trPr>
          <w:trHeight w:val="708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2"/>
                <w:sz w:val="22"/>
              </w:rPr>
              <w:t>1.15.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z w:val="22"/>
              </w:rPr>
              <w:t>kwotę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wypłaconych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środków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pieniężnych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świadczenia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pracownicze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2"/>
                <w:sz w:val="22"/>
              </w:rPr>
              <w:t>1.16.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z w:val="22"/>
              </w:rPr>
              <w:t>inne</w:t>
            </w:r>
            <w:r>
              <w:rPr>
                <w:spacing w:val="-2"/>
                <w:sz w:val="22"/>
              </w:rPr>
              <w:t> informacje</w:t>
            </w:r>
          </w:p>
        </w:tc>
      </w:tr>
      <w:tr>
        <w:trPr>
          <w:trHeight w:val="534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95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5"/>
                <w:sz w:val="22"/>
              </w:rPr>
              <w:t>2.</w:t>
            </w:r>
          </w:p>
        </w:tc>
        <w:tc>
          <w:tcPr>
            <w:tcW w:w="885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534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4"/>
                <w:sz w:val="22"/>
              </w:rPr>
              <w:t>2.1.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z w:val="22"/>
              </w:rPr>
              <w:t>wysokość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odpisów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aktualizujących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wartość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zapasów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29" w:hRule="atLeast"/>
        </w:trPr>
        <w:tc>
          <w:tcPr>
            <w:tcW w:w="953" w:type="dxa"/>
          </w:tcPr>
          <w:p>
            <w:pPr>
              <w:pStyle w:val="TableParagraph"/>
              <w:spacing w:before="39"/>
              <w:rPr>
                <w:sz w:val="22"/>
              </w:rPr>
            </w:pPr>
            <w:r>
              <w:rPr>
                <w:spacing w:val="-4"/>
                <w:sz w:val="22"/>
              </w:rPr>
              <w:t>2.2.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9"/>
              <w:rPr>
                <w:sz w:val="22"/>
              </w:rPr>
            </w:pPr>
            <w:r>
              <w:rPr>
                <w:sz w:val="22"/>
              </w:rPr>
              <w:t>koszt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wytworzenia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środków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trwałych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budowie,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tym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odsetki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oraz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różnice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kursowe,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które powiększyły koszt wytworzenia środków trwałych w budowie w roku obrotowym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7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28" w:hRule="atLeast"/>
        </w:trPr>
        <w:tc>
          <w:tcPr>
            <w:tcW w:w="953" w:type="dxa"/>
          </w:tcPr>
          <w:p>
            <w:pPr>
              <w:pStyle w:val="TableParagraph"/>
              <w:spacing w:before="40"/>
              <w:rPr>
                <w:sz w:val="22"/>
              </w:rPr>
            </w:pPr>
            <w:r>
              <w:rPr>
                <w:spacing w:val="-4"/>
                <w:sz w:val="22"/>
              </w:rPr>
              <w:t>2.3.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40"/>
              <w:rPr>
                <w:sz w:val="22"/>
              </w:rPr>
            </w:pPr>
            <w:r>
              <w:rPr>
                <w:sz w:val="22"/>
              </w:rPr>
              <w:t>kwotę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charakter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poszczególnych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pozycji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przychodów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kosztów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nadzwyczajnej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wartości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lub które wystąpiły incydentalnie</w:t>
            </w:r>
          </w:p>
        </w:tc>
      </w:tr>
      <w:tr>
        <w:trPr>
          <w:trHeight w:val="539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111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4"/>
                <w:sz w:val="22"/>
              </w:rPr>
              <w:t>2.4.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7"/>
              <w:ind w:right="98"/>
              <w:jc w:val="both"/>
              <w:rPr>
                <w:sz w:val="22"/>
              </w:rPr>
            </w:pPr>
            <w:r>
              <w:rPr>
                <w:sz w:val="22"/>
              </w:rPr>
              <w:t>informację o kwocie należności z tytułu podatków realizowanych przez organy podatkowe podległe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ministrowi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właściwemu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spraw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finansów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publicznych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wykazywanych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sprawozdaniu z wykonania planu dochodów budżetowych</w:t>
            </w:r>
          </w:p>
        </w:tc>
      </w:tr>
      <w:tr>
        <w:trPr>
          <w:trHeight w:val="710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16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53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4"/>
                <w:sz w:val="22"/>
              </w:rPr>
              <w:t>2.5.</w:t>
            </w:r>
          </w:p>
        </w:tc>
        <w:tc>
          <w:tcPr>
            <w:tcW w:w="8850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z w:val="22"/>
              </w:rPr>
              <w:t>inne</w:t>
            </w:r>
            <w:r>
              <w:rPr>
                <w:spacing w:val="-2"/>
                <w:sz w:val="22"/>
              </w:rPr>
              <w:t> informacje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pgSz w:w="11910" w:h="16840"/>
          <w:pgMar w:top="1400" w:bottom="280" w:left="992" w:right="992"/>
        </w:sectPr>
      </w:pPr>
    </w:p>
    <w:p>
      <w:pPr>
        <w:spacing w:line="240" w:lineRule="auto" w:before="3"/>
        <w:rPr>
          <w:b/>
          <w:sz w:val="2"/>
        </w:rPr>
      </w:pPr>
    </w:p>
    <w:tbl>
      <w:tblPr>
        <w:tblW w:w="0" w:type="auto"/>
        <w:jc w:val="left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3"/>
        <w:gridCol w:w="8850"/>
      </w:tblGrid>
      <w:tr>
        <w:trPr>
          <w:trHeight w:val="540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  <w:tr>
        <w:trPr>
          <w:trHeight w:val="827" w:hRule="atLeast"/>
        </w:trPr>
        <w:tc>
          <w:tcPr>
            <w:tcW w:w="953" w:type="dxa"/>
          </w:tcPr>
          <w:p>
            <w:pPr>
              <w:pStyle w:val="TableParagraph"/>
              <w:spacing w:before="37"/>
              <w:rPr>
                <w:sz w:val="22"/>
              </w:rPr>
            </w:pPr>
            <w:r>
              <w:rPr>
                <w:spacing w:val="-5"/>
                <w:sz w:val="22"/>
              </w:rPr>
              <w:t>3.</w:t>
            </w:r>
          </w:p>
        </w:tc>
        <w:tc>
          <w:tcPr>
            <w:tcW w:w="8850" w:type="dxa"/>
          </w:tcPr>
          <w:p>
            <w:pPr>
              <w:pStyle w:val="TableParagraph"/>
              <w:spacing w:line="259" w:lineRule="auto" w:before="37"/>
              <w:rPr>
                <w:sz w:val="22"/>
              </w:rPr>
            </w:pPr>
            <w:r>
              <w:rPr>
                <w:sz w:val="22"/>
              </w:rPr>
              <w:t>Inne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informacje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niż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wymienione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powyżej,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jeżeli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mogłyby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w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istotny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sposób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wpłynąć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ocenę sytuacji majątkowej i finansowej oraz wynik finansowy jednostki</w:t>
            </w:r>
          </w:p>
        </w:tc>
      </w:tr>
      <w:tr>
        <w:trPr>
          <w:trHeight w:val="707" w:hRule="atLeast"/>
        </w:trPr>
        <w:tc>
          <w:tcPr>
            <w:tcW w:w="953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8850" w:type="dxa"/>
          </w:tcPr>
          <w:p>
            <w:pPr>
              <w:pStyle w:val="TableParagraph"/>
              <w:spacing w:before="39"/>
              <w:ind w:left="218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***************</w:t>
            </w:r>
          </w:p>
        </w:tc>
      </w:tr>
    </w:tbl>
    <w:sectPr>
      <w:pgSz w:w="11910" w:h="16840"/>
      <w:pgMar w:top="1400" w:bottom="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874" w:hanging="3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684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3488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292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96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901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70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509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13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18"/>
      <w:szCs w:val="18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66"/>
      <w:ind w:left="-1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after="17"/>
      <w:ind w:left="1873" w:hanging="360"/>
    </w:pPr>
    <w:rPr>
      <w:rFonts w:ascii="Times New Roman" w:hAnsi="Times New Roman" w:eastAsia="Times New Roman" w:cs="Times New Roman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Stradowska Angelika</dc:creator>
  <dcterms:created xsi:type="dcterms:W3CDTF">2026-05-07T06:57:58Z</dcterms:created>
  <dcterms:modified xsi:type="dcterms:W3CDTF">2026-05-07T06:57:58Z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2026-05-07T00:00:00Z</vt:filetime>
  </property>
  <property fmtid="{D5CDD505-2E9C-101B-9397-08002B2CF9AE}" pid="5" name="Producer">
    <vt:lpwstr>Microsoft® Word 2024</vt:lpwstr>
  </property>
</Properties>
</file>